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B1C4F9">
      <w:pPr>
        <w:pStyle w:val="4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60" w:lineRule="exact"/>
        <w:jc w:val="both"/>
        <w:rPr>
          <w:rStyle w:val="5"/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snapToGrid w:val="0"/>
          <w:color w:val="000000"/>
          <w:kern w:val="0"/>
          <w:sz w:val="32"/>
          <w:szCs w:val="18"/>
          <w:highlight w:val="none"/>
          <w:lang w:val="en-US" w:eastAsia="zh-CN" w:bidi="ar-SA"/>
        </w:rPr>
        <w:t>附件1</w:t>
      </w:r>
    </w:p>
    <w:p w14:paraId="6F8D0701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both"/>
        <w:textAlignment w:val="auto"/>
        <w:rPr>
          <w:rStyle w:val="5"/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  <w:highlight w:val="none"/>
          <w:lang w:val="en-US" w:eastAsia="zh-CN" w:bidi="ar"/>
        </w:rPr>
      </w:pPr>
    </w:p>
    <w:p w14:paraId="1AF864E2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highlight w:val="none"/>
          <w:lang w:val="en-US" w:eastAsia="zh-CN"/>
        </w:rPr>
      </w:pPr>
      <w:r>
        <w:rPr>
          <w:rStyle w:val="5"/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  <w:highlight w:val="none"/>
          <w:lang w:val="en-US" w:eastAsia="zh-CN" w:bidi="ar"/>
        </w:rPr>
        <w:t>2026</w:t>
      </w:r>
      <w:r>
        <w:rPr>
          <w:rFonts w:hint="eastAsia" w:ascii="方正小标宋简体" w:hAnsi="方正小标宋简体" w:eastAsia="方正小标宋简体" w:cs="方正小标宋简体"/>
          <w:sz w:val="44"/>
          <w:highlight w:val="none"/>
          <w:lang w:val="en-US" w:eastAsia="zh-CN"/>
        </w:rPr>
        <w:t>年度山东省科技助残（产品技术）</w:t>
      </w:r>
    </w:p>
    <w:p w14:paraId="666CF44C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highlight w:val="none"/>
          <w:lang w:val="en-US" w:eastAsia="zh-CN"/>
        </w:rPr>
        <w:t>项目申报指南</w:t>
      </w:r>
    </w:p>
    <w:p w14:paraId="39523B22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highlight w:val="none"/>
          <w:lang w:val="en-US" w:eastAsia="zh-CN"/>
        </w:rPr>
      </w:pPr>
    </w:p>
    <w:p w14:paraId="6AD8E660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国标黑体" w:hAnsi="国标黑体" w:eastAsia="国标黑体" w:cs="国标黑体"/>
          <w:sz w:val="32"/>
          <w:szCs w:val="32"/>
          <w:highlight w:val="none"/>
          <w:lang w:val="en-US" w:eastAsia="zh-CN"/>
        </w:rPr>
      </w:pPr>
      <w:r>
        <w:rPr>
          <w:rFonts w:hint="eastAsia" w:ascii="国标黑体" w:hAnsi="国标黑体" w:eastAsia="国标黑体" w:cs="国标黑体"/>
          <w:sz w:val="32"/>
          <w:szCs w:val="32"/>
          <w:highlight w:val="none"/>
          <w:lang w:val="en-US" w:eastAsia="zh-CN"/>
        </w:rPr>
        <w:t>一、指南说明</w:t>
      </w:r>
    </w:p>
    <w:p w14:paraId="1EC04DC4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项目共10个，申报项目研究目标、内容须与指南保持一致，并达到验收指标要求。国内已有同类主流产品/技术的，需较相关产品/技术有创新，经评审认定具有显著先进性和实用价值。</w:t>
      </w:r>
    </w:p>
    <w:p w14:paraId="261CB172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项目采取定额资助方式，资助金额为250万元，每个项目25万元。项目实施周期原则上为1年，确因不可抗力或其他客观原因需要延期的，应按照规定履行申请审批程序，累计实施周期原则上不超过2年。</w:t>
      </w:r>
    </w:p>
    <w:p w14:paraId="326D03E3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default" w:ascii="国标黑体" w:hAnsi="国标黑体" w:eastAsia="国标黑体" w:cs="国标黑体"/>
          <w:sz w:val="32"/>
          <w:szCs w:val="32"/>
          <w:highlight w:val="none"/>
          <w:lang w:val="en-US" w:eastAsia="zh-CN"/>
        </w:rPr>
      </w:pPr>
      <w:r>
        <w:rPr>
          <w:rFonts w:hint="eastAsia" w:ascii="国标黑体" w:hAnsi="国标黑体" w:eastAsia="国标黑体" w:cs="国标黑体"/>
          <w:sz w:val="32"/>
          <w:szCs w:val="32"/>
          <w:highlight w:val="none"/>
          <w:lang w:val="en-US" w:eastAsia="zh-CN"/>
        </w:rPr>
        <w:t>二、项目内容</w:t>
      </w:r>
    </w:p>
    <w:p w14:paraId="314FEF13">
      <w:pPr>
        <w:pStyle w:val="4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项目1：适老助残一体化智慧康养陪护机器人研发与应用</w:t>
      </w:r>
    </w:p>
    <w:p w14:paraId="20CAA42B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研究内容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：重点解决肢体、智力、视力等残疾人及失能人群居家照护力量薄弱、安全风险预警滞后等问题，实现居家安全风险自动识别、日常照护事项智能提醒、紧急情况一键呼叫求助等功能，筑牢居家生活安全屏障。</w:t>
      </w:r>
    </w:p>
    <w:p w14:paraId="698085BE">
      <w:pPr>
        <w:pStyle w:val="4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ind w:firstLine="643" w:firstLineChars="200"/>
        <w:jc w:val="both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验收指标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研发AI适老化助残智慧康养陪护机器人样机及配套应用系统。居家风险识别和常用语音指令识别准确率均不低于90%，误报率≤5%/天或连续无故障运行时间≥72小时，紧急告警推送时间不超过3秒，告警推送方式不少于3种（包含声光报警、电话语音、APP消息推送）；具备个性化照护提醒及不少于3类本地便民服务接入功能；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整机待机功耗≤8W，工作功耗≤40W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 w:bidi="ar"/>
        </w:rPr>
        <w:t>，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整机重量≤10kg；工作噪音≤60dB(A)；具备抗跌落防护能力，0.8m高度自由跌落无功能性损坏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 w:bidi="ar"/>
        </w:rPr>
        <w:t>；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完成真实场景验证，技术参数提供第三方检测报告，成果以样机和应用系统形式呈现。</w:t>
      </w:r>
    </w:p>
    <w:p w14:paraId="4D1BC488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国标黑体" w:hAnsi="国标黑体" w:eastAsia="国标黑体" w:cs="国标黑体"/>
          <w:b w:val="0"/>
          <w:bCs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项目2：智能导航避障轮椅研发与应用</w:t>
      </w:r>
      <w:r>
        <w:rPr>
          <w:rFonts w:hint="eastAsia" w:ascii="国标黑体" w:hAnsi="国标黑体" w:eastAsia="国标黑体" w:cs="国标黑体"/>
          <w:b w:val="0"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 </w:t>
      </w:r>
    </w:p>
    <w:p w14:paraId="1FFA4D45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研究内容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：重点解决肢体残疾人和行动不便群体独立出行难、复杂环境通行风险高等问题，融合多类感知技术，实现自主路径规划、智能避障与风险预警，助力实现自主出行。</w:t>
      </w:r>
    </w:p>
    <w:p w14:paraId="0B24C47D">
      <w:pPr>
        <w:pStyle w:val="4"/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验收指标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前方有效感知距离≥10m，可检测距离范围覆盖0.2—1.5m，续航能力≥25km，典型室内障碍物识别准确率≥98%；低速行驶状态（≤0.5m/s）下动态障碍物预警与减速触发成功率≥95%；室内典型场景目标点辅助导航成功率≥85%；急停和人工接管响应时间≤100ms；符合国标GB/T 12996-2024《电动轮椅车》轮椅的速度要求，室外典型速度≤6km/h，最大安全制动距离≤1m，室内低速（≤0.5m/s）场景下，最大安全制动距离≤0.4m；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bidi="ar"/>
        </w:rPr>
        <w:t>满足居家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bidi="ar"/>
        </w:rPr>
        <w:t>医院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bidi="ar"/>
        </w:rPr>
        <w:t>养老机构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bidi="ar"/>
        </w:rPr>
        <w:t>康复中心和社区等低速助行场景下的连续稳定运行需求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。技术参数达标情况需提供第三方检测报告，成果以样机形式呈现。</w:t>
      </w:r>
    </w:p>
    <w:p w14:paraId="4019EC5C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项目3：智能康复护理床的研发与应用 </w:t>
      </w:r>
    </w:p>
    <w:p w14:paraId="2AB8B57C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研究内容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：重点解决重度肢体残疾、长期卧床人群护理难、翻身难等问题，通过支持语音控制床位姿态调整，搭配生命体征监测传感设备，实时监测健康状态，并实现异常自动报警，提升生活舒适度与安全保障。</w:t>
      </w:r>
    </w:p>
    <w:p w14:paraId="1591E0E6">
      <w:pPr>
        <w:pStyle w:val="4"/>
        <w:widowControl w:val="0"/>
        <w:spacing w:line="560" w:lineRule="exact"/>
        <w:ind w:firstLine="643" w:firstLineChars="200"/>
        <w:jc w:val="both"/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验收指标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研发智能康复护理床样机及配套身心健康监测系统1套；控制床位调节准确率≥99%；实现心率、呼吸、血压等不少于3项生命体征的非接触检测，其中心率平均绝对误差≤3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bpm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，呼吸频率平均绝对误差≤2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bpm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，收缩压、舒张压平均绝对误差均≤5mmHg；</w:t>
      </w:r>
      <w:r>
        <w:rPr>
          <w:rFonts w:hint="eastAsia" w:ascii="仿宋_GB2312" w:hAnsi="仿宋_GB2312" w:eastAsia="仿宋_GB2312" w:cs="仿宋_GB2312"/>
          <w:sz w:val="32"/>
          <w:szCs w:val="32"/>
        </w:rPr>
        <w:t>床位姿态性能指标：床位调节控制准确率≥99%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姿态调节范围：起背0‑70°，抬腿0‑20°，床体升降240‑630mm，床体前后倾斜0‑12°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设备额定载荷≥180kg；完成连续运行可靠性测试，设备全功能连续循环运行不少于10000次无故障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安全防护硬性指标：具备夹伤防护、间隙防夹手安全设计，有效规避护理过程夹伤风险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设置误操作防护机制，防止误触发危险姿态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断电、断网工况下配备手摇手动应急复位机构，可手动将床体恢复至安全平躺姿态；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成本较同类进口产品降低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50%；</w:t>
      </w:r>
      <w:r>
        <w:rPr>
          <w:rFonts w:hint="eastAsia" w:ascii="仿宋_GB2312" w:hAnsi="仿宋_GB2312" w:eastAsia="仿宋_GB2312" w:cs="仿宋_GB2312"/>
          <w:sz w:val="32"/>
          <w:szCs w:val="32"/>
        </w:rPr>
        <w:t>支持监测数据云端存储，生理指标异常、设备故障实现分级自动预警告警，异常状态发生后，系统在10s内完成识别并触发预警告警，异常状态预警告警准确率≥95%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技术参数达标情况需提供第三方检测报告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成果以样机形式呈现。</w:t>
      </w:r>
    </w:p>
    <w:p w14:paraId="4C5EF4CE">
      <w:pPr>
        <w:pStyle w:val="7"/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项目4：面向视障人群自主出行的4D时空智能感知与主动风险预警辅具研发 </w:t>
      </w:r>
    </w:p>
    <w:p w14:paraId="7DDB1F53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研究内容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：重点解决视障人群出行路况感知难、风险预判不及时、磕碰跌倒风险高等问题，通过可穿戴式智能助盲辅具，对碰撞、跌倒等风险实现分级预警，配套无障碍移动端协同使用，助力融入社会生活。</w:t>
      </w:r>
    </w:p>
    <w:p w14:paraId="77777EAA">
      <w:pPr>
        <w:pStyle w:val="4"/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验收指标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熟悉声纹/步态识别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≥9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4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%；</w:t>
      </w:r>
      <w:r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  <w:lang w:bidi="ar"/>
        </w:rPr>
        <w:t>行人、车辆、台阶、坑洼、悬空及临时障碍物等风险目标识别召回率≥90%，漏报率、</w:t>
      </w:r>
      <w:r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  <w:highlight w:val="none"/>
          <w:lang w:bidi="ar"/>
        </w:rPr>
        <w:t>误报率均≤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highlight w:val="none"/>
          <w:lang w:bidi="ar"/>
        </w:rPr>
        <w:t>5</w:t>
      </w:r>
      <w:r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  <w:highlight w:val="none"/>
          <w:lang w:bidi="ar"/>
        </w:rPr>
        <w:t>%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，</w:t>
      </w:r>
      <w:r>
        <w:rPr>
          <w:rFonts w:ascii="仿宋_GB2312" w:hAnsi="仿宋_GB2312" w:eastAsia="仿宋_GB2312" w:cs="仿宋_GB2312"/>
          <w:sz w:val="32"/>
          <w:szCs w:val="32"/>
        </w:rPr>
        <w:t>形成风险目标空间位置与运动状态的4D连续表征，输出内容至少包括目标类别、相对方位、</w:t>
      </w:r>
      <w:r>
        <w:rPr>
          <w:rFonts w:hint="eastAsia" w:ascii="仿宋_GB2312" w:hAnsi="仿宋_GB2312" w:eastAsia="仿宋_GB2312" w:cs="仿宋_GB2312"/>
          <w:sz w:val="32"/>
          <w:szCs w:val="32"/>
        </w:rPr>
        <w:t>深度</w:t>
      </w:r>
      <w:r>
        <w:rPr>
          <w:rFonts w:ascii="仿宋_GB2312" w:hAnsi="仿宋_GB2312" w:eastAsia="仿宋_GB2312" w:cs="仿宋_GB2312"/>
          <w:sz w:val="32"/>
          <w:szCs w:val="32"/>
        </w:rPr>
        <w:t>距离区间和运动状态四类信息</w:t>
      </w:r>
      <w:r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  <w:lang w:bidi="ar"/>
        </w:rPr>
        <w:t>；0.5—5米范围内风险目标距离估计平均绝对误差≤0.5米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bidi="ar"/>
        </w:rPr>
        <w:t>；</w:t>
      </w:r>
      <w:r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  <w:lang w:bidi="ar"/>
        </w:rPr>
        <w:t>碰撞风险预警提前量≥1.5秒、响应时间≤0.5秒。系统在正常照明、低照度和复杂动态场景下工作，低照度召回率下降≤8个百分点。以同分辨率、帧率、编码标准及测试序列的固定质量编码为基线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bidi="ar"/>
        </w:rPr>
        <w:t>；</w:t>
      </w:r>
      <w:r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  <w:lang w:bidi="ar"/>
        </w:rPr>
        <w:t>自适应传输码率降低≥30%，召回率下降≤5个百分点。</w:t>
      </w:r>
      <w:r>
        <w:rPr>
          <w:rFonts w:hint="eastAsia" w:ascii="仿宋_GB2312" w:hAnsi="仿宋_GB2312" w:eastAsia="仿宋_GB2312" w:cs="仿宋_GB2312"/>
          <w:sz w:val="32"/>
          <w:szCs w:val="32"/>
        </w:rPr>
        <w:t>可穿戴硬件样机连续工作时间</w:t>
      </w:r>
      <w:r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  <w:lang w:bidi="ar"/>
        </w:rPr>
        <w:t>≥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bidi="ar"/>
        </w:rPr>
        <w:t>8</w:t>
      </w:r>
      <w:r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  <w:lang w:bidi="ar"/>
        </w:rPr>
        <w:t>小时、整机重量≤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bidi="ar"/>
        </w:rPr>
        <w:t>8</w:t>
      </w:r>
      <w:r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  <w:lang w:bidi="ar"/>
        </w:rPr>
        <w:t>00克（不含移动终端）；振动/语音提示理解正确率≥90%，并完成认知负荷和使用安全评价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eastAsia="zh-CN" w:bidi="ar"/>
        </w:rPr>
        <w:t>，推广案例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val="en-US" w:eastAsia="zh-CN" w:bidi="ar"/>
        </w:rPr>
        <w:t>10个以上</w:t>
      </w:r>
      <w:r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  <w:lang w:bidi="ar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技术参数达标情况需提供第三方检测报告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  <w:lang w:bidi="ar"/>
        </w:rPr>
        <w:t>成果以可穿戴样机、移动端应用和多模态AI算法功能包呈现。</w:t>
      </w:r>
    </w:p>
    <w:p w14:paraId="13A3DB89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项目5：基于多模态光谱-肌电融合感知的智能康复评估系统研发 </w:t>
      </w:r>
    </w:p>
    <w:p w14:paraId="3C65F2F3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研究内容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：重点解决脑卒中、脊髓损伤等肢残患者康复评估难题，通过多维度无创采集生理数据，实现康复状态的实时量化评估，定制个性化康复方案，提升康复质效。</w:t>
      </w:r>
    </w:p>
    <w:p w14:paraId="580242BE">
      <w:pPr>
        <w:pStyle w:val="4"/>
        <w:spacing w:line="560" w:lineRule="exact"/>
        <w:ind w:firstLine="643" w:firstLineChars="200"/>
        <w:jc w:val="both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验收指标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肌电信号信噪比≥20dB，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拉曼光谱信号信噪比≥20 dB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；多模态数据同步精度≤1ms，实现时间维度精准对齐；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系统评定结果（或分级）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与康复医师评定结果（FMA量表）的吻合度≥85%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，评定分级的重复测量信度（ICC）≥0.80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 w:bidi="ar"/>
        </w:rPr>
        <w:t>；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开发“多模态原位传感与AI评估系统”样机1套，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至少在两类目标患者中开展临床预试验验证，单次完整评估时长≤40 min，方案须通过医院伦理委员会（IRB）审批，并报告有效数据率、脱落原因和不良事件。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eastAsia="zh-CN" w:bidi="ar"/>
        </w:rPr>
        <w:t>推广案例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val="en-US" w:eastAsia="zh-CN" w:bidi="ar"/>
        </w:rPr>
        <w:t>10个以上</w:t>
      </w:r>
      <w:r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  <w:lang w:bidi="ar"/>
        </w:rPr>
        <w:t>。</w:t>
      </w:r>
    </w:p>
    <w:p w14:paraId="5C8134A2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项目6：多模态认知训练与智能家居设备控制系统研发</w:t>
      </w:r>
    </w:p>
    <w:p w14:paraId="68D26943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default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研究内容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：重点解决上肢功能障碍残疾人无法手动操控家居设备难题，实现通过意念、视线以及语音操控设备，同时进行专注力、选择性注意等认知训练，提升生活自理能力。</w:t>
      </w:r>
    </w:p>
    <w:p w14:paraId="1DE175CD">
      <w:pPr>
        <w:pStyle w:val="4"/>
        <w:keepNext w:val="0"/>
        <w:keepLines w:val="0"/>
        <w:spacing w:before="0" w:after="0" w:line="560" w:lineRule="exact"/>
        <w:ind w:firstLine="560"/>
        <w:jc w:val="both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验收指标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：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专注力脑电训练范式≥4 种，涵盖专注力维持、选择性注意、分配性注意等训练内容；SSVEP范式8分类识别准确率≥85%，单受试者有效测试试次≥40次，校准时间≤5分钟，单指令平均响应时间≤300毫秒，信息传输率≥</w:t>
      </w:r>
      <w:bookmarkStart w:id="0" w:name="OLE_LINK7"/>
      <w:bookmarkStart w:id="1" w:name="OLE_LINK8"/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25</w:t>
      </w:r>
      <w:bookmarkStart w:id="2" w:name="OLE_LINK13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bit</w:t>
      </w:r>
      <w:bookmarkEnd w:id="2"/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/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分钟</w:t>
      </w:r>
      <w:bookmarkEnd w:id="0"/>
      <w:bookmarkEnd w:id="1"/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，误触发率≤8%，5分钟静息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时间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误激活≤3 次；P300范式识别准确率≥85%，单受试者有效测试试次≥40次，校准时间≤5分钟，单指令平均响应时间≤300 毫秒，信息传输率≥20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b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it/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分钟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，误触发率≤8%，5分钟静息误激活≤3次；眼动追踪工作照度100-800lux，4方向移动识别准确率≥92%，校准时间≤30秒，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>单指令平均响应时间≤300毫秒，误触发率≤3%；语音识别≥12分类，≤50dB环境准确率≥90%、&gt;50dB噪声环境准确率≥85%，单指令平均响应时间≤300毫秒，误触发率≤4%；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无遮挡条件下控制指令传输有效距离≥5米；明确多模态控制优先级，具备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冲突处理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机制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及人工接管机制；具备本地离线控制、紧急停止、传统控制功能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。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技术参数达标情况需提供第三方检测报告，成果以样机形式呈现。</w:t>
      </w:r>
    </w:p>
    <w:p w14:paraId="3DB3B0E4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项目7：面向老年认知障碍的非药物干预智能系统研发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 xml:space="preserve"> </w:t>
      </w:r>
    </w:p>
    <w:p w14:paraId="62DD5B1C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研究内容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：重点解决认知障碍患者非药物干预手段单一、效果难以量化、缺乏个性化、居家干预难度大等问题，实现老年认知障碍的早期筛查、精准评估与个性化居家干预、疗效量化追踪一体化，延缓认知衰退进程，提升生活质量。</w:t>
      </w:r>
    </w:p>
    <w:p w14:paraId="491442BC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验收指标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：建立老年认知障碍多模态智能评估体系，支持模态≥3种，认知功能分级分类准确率≥90%；研发非药物干预集成系统，整合包含认知训练、音乐疗法、电神经调控在内3种以上认知干预手段，生成居家阶梯式干预方案；搭建VR/AR沉浸式干预模块，系统交互响应时延≤500ms，内置干预场景≥2套，患者认知功能评分较基线改善≥10%；获得相应伦理批准，推广案例10个以上。</w:t>
      </w:r>
    </w:p>
    <w:p w14:paraId="74159FB8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项目8：脊柱、脊髓病变及脑瘫等儿童排尿排便障碍数字化康复管理系统研究 </w:t>
      </w:r>
    </w:p>
    <w:p w14:paraId="5498C667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研究内容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：重点解决脊髓损伤、脊柱侧弯、脊髓病变以及脑瘫等儿童排尿排便障碍病程长、家庭照护难度大等问题，进行全病程数字化康复管理，提供照护指导、健康教育、复查提醒、风险预警与转诊等支持。</w:t>
      </w:r>
    </w:p>
    <w:p w14:paraId="54DDA998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验收指标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：形成1套可运行的全病程管理APP及操作手册，患儿档案管理、排尿排便及照护记录、清洁间歇导尿和肠道照护指导、用药与康复记录、健康教育、复查随访提醒、风险提示和转诊提示等核心功能测试通过率不低于95%，纳入符合疾病范围和年龄要求的患儿不少于100例，连续随访不少于6个月；完成应用验证，核心数据字段完整率和主要操作流程完成率均不低于90%，风险提示准确率（以医务人员复核结果为参照）和随访及时率（在规定随访时间窗内完成）均不低于90%，家庭照护知识考核合格率不低于85%，规范照护依从率不低于80%；高风险事件人工复核率达到100%，符合转诊条件病例的转诊闭环率不低于90%；形成1套全病程康复管理规范及配套的风险分层、随访转诊和多方协作规则，提交应用验证及项目总结报告，儿童个人信息和健康数据处理应符合相关法律法规要求。推广案例10个以上。</w:t>
      </w:r>
    </w:p>
    <w:p w14:paraId="106AEA96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项目9：残疾评估及残疾人就医智能辅助系统研发 </w:t>
      </w:r>
    </w:p>
    <w:p w14:paraId="05D15F5A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研究内容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：重点解决残疾诊断评估以及残疾人就医不方便等问题，智能解析病历与检查报告、辅助开展功能状态分析，智能生成预评估建议，为残疾人提供便捷服务。</w:t>
      </w:r>
    </w:p>
    <w:p w14:paraId="02CAEF98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验收指标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</w:rPr>
        <w:t>：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单份档案解析≤4s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，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档案核心字段提取准确率100%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；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建立感知、运动功能状态辅助分析模型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，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辅助分析报告生成≤2分钟；由不少于3名具有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相关专业资质和残疾评定经验的专业人员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进行独立评定，以专家共识为参考标准，辅助分析结果与专家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共识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的独立外部测试Kappa系数≥0.85（95%置信区间下限≥0.80）。技术参数提供第三方检测报告，成果以智能辅助系统形式呈现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，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具备人工复核、证据溯源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和用户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管理功能。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推广案例10个以上。</w:t>
      </w:r>
    </w:p>
    <w:p w14:paraId="3863871E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项目10：残疾人智慧康复管理系统研发与应用 </w:t>
      </w:r>
    </w:p>
    <w:p w14:paraId="2D497284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研究内容：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重点解决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当前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残疾人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康复领域数据互不连通、系统各自独立、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康复质量管控不足等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问题，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数智化重塑康复服务流程，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整体提升康复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服务效率、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服务质量和科研转化水平。</w:t>
      </w:r>
    </w:p>
    <w:p w14:paraId="0D6320CD">
      <w:pPr>
        <w:pStyle w:val="4"/>
        <w:keepNext w:val="0"/>
        <w:keepLines w:val="0"/>
        <w:spacing w:before="0" w:after="0" w:line="560" w:lineRule="exact"/>
        <w:ind w:firstLine="560"/>
        <w:jc w:val="both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验收指标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支持连接智能康复设备数量≥5种；智能康复设备与平台实时数据对接率≥95%，治疗参数（如治疗时长、强度、训练报告等）自动采集率≥90%；患者多项目治疗预约平均等候时间较人工排程缩短≥40%；临床路径执行关键节点（评估、医嘱、治疗记录、设备参数）数据完整留存率≥98%，质控问题可追溯至具体环节；完成系统安全机制部署，包括身份认证、最小权限控制、操作日志审计、每日自动备份与恢复演练、漏洞处置预案；在不少于两类康复机构（如医院康复科、社区康复中心）完成系统部署；完整记录治疗真实数据，形成可追溯的康复效果分析报告。推广案例10个以上。</w:t>
      </w:r>
    </w:p>
    <w:p w14:paraId="4F25447B">
      <w:pPr>
        <w:pStyle w:val="4"/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textAlignment w:val="auto"/>
        <w:rPr>
          <w:highlight w:val="none"/>
        </w:rPr>
      </w:pPr>
    </w:p>
    <w:p w14:paraId="1173464B">
      <w:pPr>
        <w:pStyle w:val="4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78" w:lineRule="exact"/>
        <w:jc w:val="both"/>
        <w:outlineLvl w:val="9"/>
        <w:rPr>
          <w:rFonts w:hint="eastAsia" w:ascii="黑体" w:hAnsi="黑体" w:eastAsia="黑体" w:cs="黑体"/>
          <w:snapToGrid w:val="0"/>
          <w:color w:val="000000"/>
          <w:kern w:val="0"/>
          <w:sz w:val="32"/>
          <w:szCs w:val="18"/>
          <w:highlight w:val="none"/>
          <w:lang w:val="en-US" w:eastAsia="zh-CN" w:bidi="ar-SA"/>
        </w:rPr>
      </w:pPr>
    </w:p>
    <w:p w14:paraId="7C86C356">
      <w:pPr>
        <w:pStyle w:val="4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78" w:lineRule="exact"/>
        <w:jc w:val="both"/>
        <w:outlineLvl w:val="9"/>
        <w:rPr>
          <w:rFonts w:hint="eastAsia" w:ascii="黑体" w:hAnsi="黑体" w:eastAsia="黑体" w:cs="黑体"/>
          <w:snapToGrid w:val="0"/>
          <w:color w:val="000000"/>
          <w:kern w:val="0"/>
          <w:sz w:val="32"/>
          <w:szCs w:val="18"/>
          <w:highlight w:val="none"/>
          <w:lang w:val="en-US" w:eastAsia="zh-CN" w:bidi="ar-SA"/>
        </w:rPr>
      </w:pPr>
    </w:p>
    <w:p w14:paraId="17630DEF">
      <w:pPr>
        <w:pStyle w:val="4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78" w:lineRule="exact"/>
        <w:jc w:val="both"/>
        <w:outlineLvl w:val="9"/>
        <w:rPr>
          <w:rFonts w:hint="eastAsia" w:ascii="黑体" w:hAnsi="黑体" w:eastAsia="黑体" w:cs="黑体"/>
          <w:snapToGrid w:val="0"/>
          <w:color w:val="000000"/>
          <w:kern w:val="0"/>
          <w:sz w:val="32"/>
          <w:szCs w:val="18"/>
          <w:highlight w:val="none"/>
          <w:lang w:val="en-US" w:eastAsia="zh-CN" w:bidi="ar-SA"/>
        </w:rPr>
      </w:pPr>
    </w:p>
    <w:p w14:paraId="7B6A2B4E">
      <w:pPr>
        <w:pStyle w:val="4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78" w:lineRule="exact"/>
        <w:jc w:val="both"/>
        <w:outlineLvl w:val="9"/>
        <w:rPr>
          <w:rFonts w:hint="eastAsia" w:ascii="黑体" w:hAnsi="黑体" w:eastAsia="黑体" w:cs="黑体"/>
          <w:snapToGrid w:val="0"/>
          <w:color w:val="000000"/>
          <w:kern w:val="0"/>
          <w:sz w:val="32"/>
          <w:szCs w:val="18"/>
          <w:highlight w:val="none"/>
          <w:lang w:val="en-US" w:eastAsia="zh-CN" w:bidi="ar-SA"/>
        </w:rPr>
      </w:pPr>
    </w:p>
    <w:p w14:paraId="577C3ADB">
      <w:bookmarkStart w:id="3" w:name="_GoBack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681920"/>
    <w:rsid w:val="2F681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5">
    <w:name w:val="StrongStrong"/>
    <w:basedOn w:val="6"/>
    <w:qFormat/>
    <w:uiPriority w:val="0"/>
    <w:rPr>
      <w:b/>
    </w:rPr>
  </w:style>
  <w:style w:type="character" w:customStyle="1" w:styleId="6">
    <w:name w:val="Default Paragraph FontDefaultParagraphFont"/>
    <w:semiHidden/>
    <w:qFormat/>
    <w:uiPriority w:val="0"/>
  </w:style>
  <w:style w:type="paragraph" w:customStyle="1" w:styleId="7">
    <w:name w:val="Body TextBodyText"/>
    <w:basedOn w:val="4"/>
    <w:semiHidden/>
    <w:qFormat/>
    <w:uiPriority w:val="0"/>
    <w:rPr>
      <w:rFonts w:ascii="黑体" w:hAnsi="黑体" w:eastAsia="黑体" w:cs="黑体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2026-09-15T08:59:00Z</dcterms:created>
  <dc:creator>崔晓萍</dc:creator>
  <cp:lastModifiedBy>崔晓萍</cp:lastModifiedBy>
  <dcterms:modified xsi:type="dcterms:W3CDTF">2026-09-15T09:00:34Z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F4C3710BAEFD4FF1B7855E0F91E33CB7_11</vt:lpwstr>
  </property>
  <property fmtid="{D5CDD505-2E9C-101B-9397-08002B2CF9AE}" pid="4" name="KSOTemplateDocerSaveRecord">
    <vt:lpwstr>eyJoZGlkIjoiMmVhMTRhMTMyODhkMzllMjU5MDIwMTAyYjEwZjI1MDkiLCJ1c2VySWQiOiIxNjI3ODEyNDYzIn0=</vt:lpwstr>
  </property>
</Properties>
</file>