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ascii="仿宋" w:hAnsi="仿宋" w:eastAsia="仿宋" w:cs="仿宋"/>
          <w:b/>
          <w:bCs/>
          <w:kern w:val="36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36"/>
          <w:sz w:val="32"/>
          <w:szCs w:val="32"/>
        </w:rPr>
        <w:t>附件1：</w:t>
      </w:r>
    </w:p>
    <w:p>
      <w:pPr>
        <w:widowControl/>
        <w:spacing w:line="580" w:lineRule="exact"/>
        <w:ind w:firstLine="640"/>
        <w:jc w:val="center"/>
        <w:rPr>
          <w:rFonts w:asciiTheme="majorEastAsia" w:hAnsiTheme="majorEastAsia" w:eastAsiaTheme="majorEastAsia" w:cstheme="majorEastAsia"/>
          <w:kern w:val="0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kern w:val="0"/>
          <w:sz w:val="44"/>
          <w:szCs w:val="44"/>
        </w:rPr>
        <w:t>山东省教育科学“十三五”规划</w:t>
      </w:r>
    </w:p>
    <w:p>
      <w:pPr>
        <w:widowControl/>
        <w:spacing w:line="580" w:lineRule="exact"/>
        <w:ind w:firstLine="640"/>
        <w:jc w:val="center"/>
        <w:rPr>
          <w:rFonts w:asciiTheme="majorEastAsia" w:hAnsiTheme="majorEastAsia" w:eastAsiaTheme="majorEastAsia" w:cstheme="majorEastAsia"/>
          <w:kern w:val="0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kern w:val="0"/>
          <w:sz w:val="44"/>
          <w:szCs w:val="44"/>
        </w:rPr>
        <w:t>2020年度课题选题指南</w:t>
      </w:r>
    </w:p>
    <w:p>
      <w:pPr>
        <w:pStyle w:val="2"/>
        <w:spacing w:line="580" w:lineRule="exact"/>
        <w:ind w:left="420" w:leftChars="200"/>
        <w:rPr>
          <w:rFonts w:ascii="仿宋" w:hAnsi="仿宋" w:eastAsia="仿宋" w:cs="仿宋"/>
          <w:b/>
          <w:bCs w:val="0"/>
          <w:sz w:val="32"/>
          <w:szCs w:val="32"/>
        </w:rPr>
      </w:pPr>
    </w:p>
    <w:p>
      <w:pPr>
        <w:numPr>
          <w:ilvl w:val="0"/>
          <w:numId w:val="1"/>
        </w:numPr>
        <w:spacing w:line="580" w:lineRule="exact"/>
        <w:ind w:firstLine="640" w:firstLineChars="20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重大招标课题（题目不得变动）</w:t>
      </w:r>
    </w:p>
    <w:p>
      <w:pPr>
        <w:spacing w:line="580" w:lineRule="exact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1.山东省高校创新力评价及其提升策略研究</w:t>
      </w:r>
    </w:p>
    <w:p>
      <w:pPr>
        <w:spacing w:line="58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2.新时代山东省高等师范教育深化改革研究</w:t>
      </w:r>
    </w:p>
    <w:p>
      <w:pPr>
        <w:spacing w:line="58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3.山东省“双通制”职业教育体系构建研究</w:t>
      </w:r>
    </w:p>
    <w:p>
      <w:pPr>
        <w:spacing w:line="58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4.山东省高水平职业院校和高水平专业建设研究</w:t>
      </w:r>
    </w:p>
    <w:p>
      <w:pPr>
        <w:spacing w:line="58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5.“十四五”山东省学龄人口变动与学校布局调整预测研究</w:t>
      </w:r>
    </w:p>
    <w:p>
      <w:pPr>
        <w:spacing w:line="58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6.山东省深化新高考改革方案的跟踪评估与动态调整研究</w:t>
      </w:r>
    </w:p>
    <w:p>
      <w:pPr>
        <w:spacing w:line="58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7.人工智能与教育教学深度变革研究</w:t>
      </w:r>
    </w:p>
    <w:p>
      <w:pPr>
        <w:spacing w:line="58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8.山东省中心城市教育承载力测算及资源优化配置研究</w:t>
      </w:r>
    </w:p>
    <w:p>
      <w:pPr>
        <w:spacing w:line="58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9.针对重大公共突发事件的教育责任及应急防控体系研究</w:t>
      </w:r>
    </w:p>
    <w:p>
      <w:pPr>
        <w:spacing w:line="58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10.山东省教育现代化2035目标监测体系及实施路径研究</w:t>
      </w:r>
    </w:p>
    <w:p>
      <w:pPr>
        <w:spacing w:line="58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11.基于大数据分析的新高考改革考生志愿填报指导研究</w:t>
      </w:r>
    </w:p>
    <w:p>
      <w:pPr>
        <w:spacing w:line="58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12.山东高考综合改革实施效果研究</w:t>
      </w:r>
    </w:p>
    <w:p>
      <w:pPr>
        <w:spacing w:line="58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</w:p>
    <w:p>
      <w:pPr>
        <w:numPr>
          <w:ilvl w:val="0"/>
          <w:numId w:val="1"/>
        </w:numPr>
        <w:spacing w:line="580" w:lineRule="exact"/>
        <w:ind w:firstLine="640" w:firstLineChars="20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重点研究课题（本25个题目不得变动，其他可自拟）</w:t>
      </w:r>
    </w:p>
    <w:p>
      <w:pPr>
        <w:spacing w:line="58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1.山东省自贸区建设与人才培养体制机制研究</w:t>
      </w:r>
    </w:p>
    <w:p>
      <w:pPr>
        <w:spacing w:line="58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2.山东省公费师范生培养质量评价标准及监测研究</w:t>
      </w:r>
    </w:p>
    <w:p>
      <w:pPr>
        <w:spacing w:line="58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3.山东省高校意识形态安全监测研究</w:t>
      </w:r>
    </w:p>
    <w:p>
      <w:pPr>
        <w:spacing w:line="58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4.山东省学位与研究生教育的规模与结构研究</w:t>
      </w:r>
    </w:p>
    <w:p>
      <w:pPr>
        <w:spacing w:line="58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5.山东省职业教育专业建设与产业发展的深度融合研究</w:t>
      </w:r>
    </w:p>
    <w:p>
      <w:pPr>
        <w:spacing w:line="58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6.山东省学前教育普及普惠目标与推进路径研究</w:t>
      </w:r>
    </w:p>
    <w:p>
      <w:pPr>
        <w:spacing w:line="58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7.城镇居住区配套幼</w:t>
      </w:r>
      <w:bookmarkStart w:id="5" w:name="_GoBack"/>
      <w:bookmarkEnd w:id="5"/>
      <w:r>
        <w:rPr>
          <w:rFonts w:hint="eastAsia" w:ascii="仿宋" w:hAnsi="仿宋" w:eastAsia="仿宋" w:cs="仿宋"/>
          <w:sz w:val="32"/>
          <w:szCs w:val="32"/>
        </w:rPr>
        <w:t>儿园资源保障研究</w:t>
      </w:r>
    </w:p>
    <w:p>
      <w:pPr>
        <w:spacing w:line="58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8.山东省中小学教师惩戒行为的规范与监管研究</w:t>
      </w:r>
    </w:p>
    <w:p>
      <w:pPr>
        <w:spacing w:line="58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9.中小学阅读课程的标准构建与内容筛选研究</w:t>
      </w:r>
    </w:p>
    <w:p>
      <w:pPr>
        <w:spacing w:line="58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10.基础教育集团化办学政策风险评估及控制策略研究</w:t>
      </w:r>
    </w:p>
    <w:p>
      <w:pPr>
        <w:spacing w:line="58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11.中小学教师绩效工资制度实施情况与改革研究</w:t>
      </w:r>
    </w:p>
    <w:p>
      <w:pPr>
        <w:spacing w:line="58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12.山东省基础教育国际课程实施状况评估研究</w:t>
      </w:r>
    </w:p>
    <w:p>
      <w:pPr>
        <w:spacing w:line="58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13.山东省中小学教师招聘现状与改革研究</w:t>
      </w:r>
    </w:p>
    <w:p>
      <w:pPr>
        <w:spacing w:line="58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14.中小学生心理危机干预的服务体系建设研究</w:t>
      </w:r>
    </w:p>
    <w:p>
      <w:pPr>
        <w:spacing w:line="58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15.县域教育治理体系和治理能力现代化研究</w:t>
      </w:r>
    </w:p>
    <w:p>
      <w:pPr>
        <w:spacing w:line="58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16.中华优秀传统文化地方课程建设与教学实践研究</w:t>
      </w:r>
    </w:p>
    <w:p>
      <w:pPr>
        <w:spacing w:line="58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17.深化中小学校长职级制改革路径研究</w:t>
      </w:r>
    </w:p>
    <w:p>
      <w:pPr>
        <w:spacing w:line="58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18.义务教育教师县管校聘管理运行机制优化研究</w:t>
      </w:r>
    </w:p>
    <w:p>
      <w:pPr>
        <w:spacing w:line="58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19.中小学单元整体设计的教学改革研究</w:t>
      </w:r>
    </w:p>
    <w:p>
      <w:pPr>
        <w:spacing w:line="58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20.普通高中育人范式转型的政策支持体系研究</w:t>
      </w:r>
    </w:p>
    <w:p>
      <w:pPr>
        <w:spacing w:line="58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21.新时代山东省中小学劳动教育体系的实践研究</w:t>
      </w:r>
    </w:p>
    <w:p>
      <w:pPr>
        <w:spacing w:line="58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22.山东省特殊教育发展保障机制研究</w:t>
      </w:r>
    </w:p>
    <w:p>
      <w:pPr>
        <w:spacing w:line="58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23.山东省智慧教育实验及实践效果的评估研究</w:t>
      </w:r>
    </w:p>
    <w:p>
      <w:pPr>
        <w:spacing w:line="58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24.山东省基础教育信息化公共服务体系建设研究</w:t>
      </w:r>
    </w:p>
    <w:p>
      <w:pPr>
        <w:spacing w:line="58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25.山东省教科研评价制度改革研究</w:t>
      </w:r>
    </w:p>
    <w:p>
      <w:pPr>
        <w:numPr>
          <w:ilvl w:val="0"/>
          <w:numId w:val="1"/>
        </w:numPr>
        <w:spacing w:line="580" w:lineRule="exact"/>
        <w:ind w:firstLine="640" w:firstLineChars="20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专项课题（题目不得变动）</w:t>
      </w:r>
    </w:p>
    <w:p>
      <w:pPr>
        <w:widowControl/>
        <w:spacing w:line="580" w:lineRule="exact"/>
        <w:ind w:firstLine="480" w:firstLineChars="150"/>
        <w:jc w:val="left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（一）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教育招生考试专</w:t>
      </w:r>
      <w:r>
        <w:rPr>
          <w:rFonts w:hint="eastAsia" w:ascii="黑体" w:hAnsi="黑体" w:eastAsia="黑体" w:cs="黑体"/>
          <w:snapToGrid w:val="0"/>
          <w:kern w:val="0"/>
          <w:sz w:val="32"/>
          <w:szCs w:val="32"/>
        </w:rPr>
        <w:t>项（重点15项，一般10项）</w:t>
      </w:r>
    </w:p>
    <w:p>
      <w:pPr>
        <w:widowControl/>
        <w:shd w:val="clear" w:color="auto" w:fill="FFFFFF"/>
        <w:spacing w:line="580" w:lineRule="exact"/>
        <w:ind w:left="482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1.重点课题（5万）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（1）教育考试的智能阅卷技术与管理模式研究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（2）教育招生考试标准化考点建设及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32"/>
          <w:szCs w:val="32"/>
        </w:rPr>
        <w:t>关键技术</w:t>
      </w: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（3）新高考改革背景下的特殊类型招考模式研究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（4）春季高考技能考试内容与方式优化研究</w:t>
      </w:r>
    </w:p>
    <w:p>
      <w:pPr>
        <w:spacing w:line="580" w:lineRule="exact"/>
        <w:ind w:firstLine="643" w:firstLineChars="200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2.重点课题（2万）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（5）评卷管理与标准化体系研究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（6）命题信息化平台建设研究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（7）命题质量优化机制研究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（8）招生考试信息安全体系建设研究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（9）命题理论及试题库建设策略研究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（10）教育招生考试模式现状与改革路径研究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（11）教育测量及考试评价机制研究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（12）教育招生考试机构内部控制建设研究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（13）教育考试经费使用绩效考核评价研究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（14）教育招生考试新技术研究与应用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（15）教育招生考试档案管理研究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（16）教育招生考试舆情监控体系研究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（17）教育招生考试违规处理研究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（18）无纸化考试技术及管理研究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（19）教育招生考试发展及质量保证体系研究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（20）教育招生考试社会助学发展策略研究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（21）安全保密机制优化策略研究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（22）高考选科与大学专业适配性科学研究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（23）高考选科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32"/>
          <w:szCs w:val="32"/>
        </w:rPr>
        <w:t>与</w:t>
      </w: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大学生职业生涯发展规划研究</w:t>
      </w:r>
    </w:p>
    <w:p>
      <w:pPr>
        <w:spacing w:line="580" w:lineRule="exact"/>
        <w:ind w:firstLine="643" w:firstLineChars="200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3.一般课题（1万）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（1）多部门共建考试安全保密体系建设研究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（2）多部门协作考试环境综合治理研究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（3）教育招生考试机构财务管理研究</w:t>
      </w:r>
    </w:p>
    <w:p>
      <w:pPr>
        <w:widowControl/>
        <w:shd w:val="clear" w:color="auto" w:fill="FFFFFF"/>
        <w:spacing w:line="580" w:lineRule="exact"/>
        <w:ind w:firstLine="560" w:firstLineChars="200"/>
        <w:rPr>
          <w:rFonts w:ascii="仿宋" w:hAnsi="仿宋" w:eastAsia="仿宋" w:cs="仿宋"/>
          <w:snapToGrid w:val="0"/>
          <w:spacing w:val="-2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spacing w:val="-20"/>
          <w:kern w:val="0"/>
          <w:sz w:val="32"/>
          <w:szCs w:val="32"/>
        </w:rPr>
        <w:t>（4）新高考背景下招生考试信访工作的特点和应对策略研究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（5）自命题质量保障体系研究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（6）新高考改革对其他类别招生考试的影响与应对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（7）新高考多元化招生制度研究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（8）各省教育招生制度改革方案比较研究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（9）考试招生制度改革公平问题研究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（10）综合评价与分数模型招生应用研究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（11）新形势下命题机制研究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黑体" w:hAnsi="黑体" w:eastAsia="黑体" w:cs="黑体"/>
          <w:snapToGrid w:val="0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（二）高</w:t>
      </w:r>
      <w:r>
        <w:rPr>
          <w:rFonts w:hint="eastAsia" w:ascii="黑体" w:hAnsi="黑体" w:eastAsia="黑体" w:cs="黑体"/>
          <w:snapToGrid w:val="0"/>
          <w:kern w:val="0"/>
          <w:sz w:val="32"/>
          <w:szCs w:val="32"/>
        </w:rPr>
        <w:t>等教育英语教学专项（一般30项，自筹20项）</w:t>
      </w:r>
    </w:p>
    <w:p>
      <w:pPr>
        <w:widowControl/>
        <w:shd w:val="clear" w:color="auto" w:fill="FFFFFF"/>
        <w:spacing w:line="580" w:lineRule="exact"/>
        <w:ind w:firstLine="643" w:firstLineChars="200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napToGrid w:val="0"/>
          <w:kern w:val="0"/>
          <w:sz w:val="32"/>
          <w:szCs w:val="32"/>
        </w:rPr>
        <w:t>1.大学本科外语专项（一般10项，自筹10项）</w:t>
      </w:r>
    </w:p>
    <w:p>
      <w:pPr>
        <w:widowControl/>
        <w:shd w:val="clear" w:color="auto" w:fill="FFFFFF"/>
        <w:spacing w:line="580" w:lineRule="exact"/>
        <w:ind w:firstLine="560" w:firstLineChars="200"/>
        <w:rPr>
          <w:rFonts w:ascii="仿宋" w:hAnsi="仿宋" w:eastAsia="仿宋" w:cs="仿宋"/>
          <w:snapToGrid w:val="0"/>
          <w:spacing w:val="-2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spacing w:val="-20"/>
          <w:kern w:val="0"/>
          <w:sz w:val="32"/>
          <w:szCs w:val="32"/>
        </w:rPr>
        <w:t>（1）基于重大突发公共事件的大学外语教师信息传播责任研究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（2）思政要素融入外语课程体系研究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（3）应用型高校大学英语教学改革研究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（4）大学生英语核心素养研究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（5）高校专门用途英语课程体系探索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（6）艺体类高校大学英语教学策略研究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（7）人工智能背景下外语教学模式改革研究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（8）高等学校英语课程评价方法创新研究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（9）大学生英语运用能力与职业发展关系的实证研究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（10）新文科背景下外语教学改革研究</w:t>
      </w:r>
    </w:p>
    <w:p>
      <w:pPr>
        <w:widowControl/>
        <w:shd w:val="clear" w:color="auto" w:fill="FFFFFF"/>
        <w:spacing w:line="580" w:lineRule="exact"/>
        <w:ind w:firstLine="560" w:firstLineChars="200"/>
        <w:rPr>
          <w:rFonts w:ascii="仿宋" w:hAnsi="仿宋" w:eastAsia="仿宋" w:cs="仿宋"/>
          <w:snapToGrid w:val="0"/>
          <w:spacing w:val="-2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spacing w:val="-20"/>
          <w:kern w:val="0"/>
          <w:sz w:val="32"/>
          <w:szCs w:val="32"/>
        </w:rPr>
        <w:t>（11）中华优秀传统文化的对外翻译课程开发与传播效能研究</w:t>
      </w:r>
    </w:p>
    <w:p>
      <w:pPr>
        <w:widowControl/>
        <w:shd w:val="clear" w:color="auto" w:fill="FFFFFF"/>
        <w:spacing w:line="580" w:lineRule="exact"/>
        <w:ind w:firstLine="560" w:firstLineChars="200"/>
        <w:rPr>
          <w:rFonts w:ascii="仿宋" w:hAnsi="仿宋" w:eastAsia="仿宋" w:cs="仿宋"/>
          <w:snapToGrid w:val="0"/>
          <w:spacing w:val="-2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spacing w:val="-20"/>
          <w:kern w:val="0"/>
          <w:sz w:val="32"/>
          <w:szCs w:val="32"/>
        </w:rPr>
        <w:t>（12）虚拟仿真技术运用于高校外语实训课程的效能评价研究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（13）高校英语混合式教学效能的实证研究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（14）人工智能促进语言深度学习的方式研究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（15）中国外语微课大赛对教学产生反拨作用的实效研究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（16）中国外语微课大赛成果转化机制与效能研究</w:t>
      </w:r>
    </w:p>
    <w:p>
      <w:pPr>
        <w:widowControl/>
        <w:shd w:val="clear" w:color="auto" w:fill="FFFFFF"/>
        <w:spacing w:line="580" w:lineRule="exact"/>
        <w:ind w:firstLine="560" w:firstLineChars="200"/>
        <w:rPr>
          <w:rFonts w:ascii="仿宋" w:hAnsi="仿宋" w:eastAsia="仿宋" w:cs="仿宋"/>
          <w:snapToGrid w:val="0"/>
          <w:spacing w:val="-2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spacing w:val="-20"/>
          <w:kern w:val="0"/>
          <w:sz w:val="32"/>
          <w:szCs w:val="32"/>
        </w:rPr>
        <w:t>（17）“互联网+”背景下大学生英语学习厌倦情绪测评与调适研究</w:t>
      </w:r>
    </w:p>
    <w:p>
      <w:pPr>
        <w:widowControl/>
        <w:shd w:val="clear" w:color="auto" w:fill="FFFFFF"/>
        <w:spacing w:line="580" w:lineRule="exact"/>
        <w:ind w:firstLine="560" w:firstLineChars="200"/>
        <w:rPr>
          <w:rFonts w:ascii="仿宋" w:hAnsi="仿宋" w:eastAsia="仿宋" w:cs="仿宋"/>
          <w:snapToGrid w:val="0"/>
          <w:spacing w:val="-2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spacing w:val="-20"/>
          <w:kern w:val="0"/>
          <w:sz w:val="32"/>
          <w:szCs w:val="32"/>
        </w:rPr>
        <w:t>（18）重大疫情背景下高校线上英语教学实效评价与改进策略研究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（19）大学外语数字化教学平台协同建设机制研究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（20）大学英语深度阅读教学研究</w:t>
      </w:r>
    </w:p>
    <w:p>
      <w:pPr>
        <w:widowControl/>
        <w:shd w:val="clear" w:color="auto" w:fill="FFFFFF"/>
        <w:spacing w:line="580" w:lineRule="exact"/>
        <w:ind w:firstLine="643" w:firstLineChars="200"/>
        <w:rPr>
          <w:rFonts w:ascii="仿宋" w:hAnsi="仿宋" w:eastAsia="仿宋" w:cs="仿宋"/>
          <w:b/>
          <w:bCs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napToGrid w:val="0"/>
          <w:kern w:val="0"/>
          <w:sz w:val="32"/>
          <w:szCs w:val="32"/>
        </w:rPr>
        <w:t>2.高职高专大外专项（一般20项，自筹10项）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（1）以就业为导向的高职英语教学改革研究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（2）基于职业资格标准的高职英语课程改革研究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（3）适应区域发展的高职英语教学改革研究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（4）基于“基础、行业、实训一体化”的高职英语教学实践研究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（5）中高职英语课程衔接研究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（6）人工智能背景下高职外语教师信息素养研究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（17）人工智能背景下高职外语教师专业发展模式研究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（18）高职英语课程思政实施的路径优化研究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（19）高职学生英语水平评价标准改革研究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（20）高职外语数字化教学平台协同建设机制研究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（21）高职外语数字化教学资源开发研究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（22）高职外语教材专业适用性评价与优化研究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（23）高职外语课程建设的国际比较研究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（24）以学生为中心的高职外语教学变革研究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（25）高职外语实践实训教学改革研究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（26）人工智能背景下高职学生外语学习方式变革研究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（27）高职英语混合式教学模式创新研究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（28）高职专业外语课程内容选择研究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（29）高职学生外语个性化学习资源开发研究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（30）山东省高职外语教学的变革历程与实践经验研究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黑体" w:hAnsi="黑体" w:eastAsia="黑体" w:cs="黑体"/>
          <w:snapToGrid w:val="0"/>
          <w:kern w:val="0"/>
          <w:sz w:val="32"/>
          <w:szCs w:val="32"/>
        </w:rPr>
      </w:pPr>
      <w:r>
        <w:rPr>
          <w:rFonts w:hint="eastAsia" w:ascii="黑体" w:hAnsi="黑体" w:eastAsia="黑体" w:cs="黑体"/>
          <w:snapToGrid w:val="0"/>
          <w:kern w:val="0"/>
          <w:sz w:val="32"/>
          <w:szCs w:val="32"/>
        </w:rPr>
        <w:t>（三）中学（含中职）英语阅读教学专项（一般20项，自筹20项）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（1）中学英语阅读教学目标进阶研究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（2）山东省中学生英语阅读能力现状调查研究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（3）中学英语阅读教学实验学校/示范基地建设研究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（4）中学英语阅读形成性评价研究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 xml:space="preserve">（5）中学英语阅读课程建设研究 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（6）中学英语阅读“教-学-评”一致性研究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（7）学校-教师-家长“三维一体”的中学英语阅读教学改革研究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（8）中学英语课堂阅读教方法创新研究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（9）中学英语混合教学模式创新研究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（10）基于移动互联网的中学生英语阅读社群构建研究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（11）中学英语阅读教学中同义词语义网络建构研究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（12）中学生英语阅读速度与效率的自我调控研究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（13）中学英语阅读教研模式改革研究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 xml:space="preserve">（14）中学英语读后续写技巧与方法研究 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（15）中学英语阅读与汉语阅读策略比较研究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（16）整体阅读</w:t>
      </w:r>
      <w:bookmarkStart w:id="0" w:name="OLE_LINK2"/>
      <w:bookmarkStart w:id="1" w:name="OLE_LINK1"/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视阈下的英语叙事文本结构教学研究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（17）任务驱动的中学生阅读复述能力提升研究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bookmarkStart w:id="2" w:name="OLE_LINK4"/>
      <w:bookmarkStart w:id="3" w:name="OLE_LINK5"/>
      <w:bookmarkStart w:id="4" w:name="OLE_LINK3"/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（18）运用思维导图培养中学生阅读水平的研究</w:t>
      </w:r>
    </w:p>
    <w:p>
      <w:pPr>
        <w:widowControl/>
        <w:shd w:val="clear" w:color="auto" w:fill="FFFFFF"/>
        <w:spacing w:line="580" w:lineRule="exact"/>
        <w:ind w:firstLine="548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spacing w:val="-23"/>
          <w:kern w:val="0"/>
          <w:sz w:val="32"/>
          <w:szCs w:val="32"/>
        </w:rPr>
        <w:t>（19</w:t>
      </w: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）角色扮演在阅读教学中促进学生语言使用与交际能力提升的研究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（20）中学生撰写故事概要技巧与方法的研究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（21）英语课堂通过“看图说话”巩固学生阅读效果的研究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（22）中学生英语“完整阅读”教学改革研究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 xml:space="preserve">（23）中学生英语全景扩读的理论与实践研究 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（24）中学生英语阅读自测能力研究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（25）中学生英语阅读叙事能力研究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（26）中学英语写作中过渡词语与信号词运用研究</w:t>
      </w:r>
    </w:p>
    <w:p>
      <w:pPr>
        <w:widowControl/>
        <w:shd w:val="clear" w:color="auto" w:fill="FFFFFF"/>
        <w:spacing w:line="580" w:lineRule="exact"/>
        <w:ind w:firstLine="548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spacing w:val="-23"/>
          <w:kern w:val="0"/>
          <w:sz w:val="32"/>
          <w:szCs w:val="32"/>
        </w:rPr>
        <w:t>（27）</w:t>
      </w: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中学英语中人物言语、感受和行为“三维一体”分析人物品格研究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（28）中学生英语阅读中辨析故事主线的能力研究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（29）中学生英语阅读中诠释性问题的能力研究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（30）象征主义视角下的英语阅读教学策略研究</w:t>
      </w:r>
    </w:p>
    <w:bookmarkEnd w:id="0"/>
    <w:bookmarkEnd w:id="1"/>
    <w:bookmarkEnd w:id="2"/>
    <w:bookmarkEnd w:id="3"/>
    <w:bookmarkEnd w:id="4"/>
    <w:p>
      <w:pPr>
        <w:widowControl/>
        <w:shd w:val="clear" w:color="auto" w:fill="FFFFFF"/>
        <w:spacing w:line="580" w:lineRule="exact"/>
        <w:ind w:left="638" w:leftChars="304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（31）山东省中职公共英语教学状况调查研究</w:t>
      </w: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（32）中职英语教学管理改革及创新研究</w:t>
      </w:r>
    </w:p>
    <w:p>
      <w:pPr>
        <w:widowControl/>
        <w:shd w:val="clear" w:color="auto" w:fill="FFFFFF"/>
        <w:spacing w:line="580" w:lineRule="exact"/>
        <w:ind w:left="638" w:leftChars="304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（33）中职英语课程体系建设和发展研究</w:t>
      </w: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（34）中职英语精品课程、特色课程建设研究</w:t>
      </w: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（35）中职英语网络化教学手段和方法创新研究</w:t>
      </w: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（36）中职英语教材建设研究</w:t>
      </w: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（37）中职学生英语自主学习研究</w:t>
      </w: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（38）中职英语教学评估工具改革研究</w:t>
      </w: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（39）中职公共英语分级教学策略研究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（40）中高职衔接教育中职阶段公共英语教学研究</w:t>
      </w:r>
    </w:p>
    <w:p>
      <w:pPr>
        <w:widowControl/>
        <w:spacing w:line="580" w:lineRule="exact"/>
        <w:ind w:firstLine="480" w:firstLineChars="150"/>
        <w:jc w:val="left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（四）教育装备及学校后勤管理专项（重点5项，一般20项）</w:t>
      </w:r>
    </w:p>
    <w:p>
      <w:pPr>
        <w:ind w:firstLine="643" w:firstLineChars="200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napToGrid w:val="0"/>
          <w:kern w:val="0"/>
          <w:sz w:val="32"/>
          <w:szCs w:val="32"/>
        </w:rPr>
        <w:t>1.重点课题（2万）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（1）基于核心素养的中小学实验教学管理研究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（2）学校图书馆建设与学科教学融合的研究</w:t>
      </w:r>
    </w:p>
    <w:p>
      <w:pPr>
        <w:widowControl/>
        <w:shd w:val="clear" w:color="auto" w:fill="FFFFFF"/>
        <w:spacing w:line="580" w:lineRule="exact"/>
        <w:ind w:left="638" w:leftChars="304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（3）虚拟仿真技术嵌入实验教学中的应用研究</w:t>
      </w:r>
    </w:p>
    <w:p>
      <w:pPr>
        <w:widowControl/>
        <w:shd w:val="clear" w:color="auto" w:fill="FFFFFF"/>
        <w:spacing w:line="580" w:lineRule="exact"/>
        <w:ind w:left="638" w:leftChars="304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（4）高校餐饮智能服务背景下餐厅管理模式创新研究</w:t>
      </w:r>
    </w:p>
    <w:p>
      <w:pPr>
        <w:widowControl/>
        <w:shd w:val="clear" w:color="auto" w:fill="FFFFFF"/>
        <w:spacing w:line="580" w:lineRule="exact"/>
        <w:ind w:left="638" w:leftChars="304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（5）新时代中小学综合实践基地课程体系创新研究</w:t>
      </w:r>
    </w:p>
    <w:p>
      <w:pPr>
        <w:ind w:firstLine="643" w:firstLineChars="200"/>
        <w:rPr>
          <w:rFonts w:ascii="仿宋" w:hAnsi="仿宋" w:eastAsia="仿宋" w:cs="仿宋"/>
          <w:b/>
          <w:bCs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napToGrid w:val="0"/>
          <w:kern w:val="0"/>
          <w:sz w:val="32"/>
          <w:szCs w:val="32"/>
        </w:rPr>
        <w:t>2.一般课题（1万）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（1）基于学科核心素养的实验与实践性教学改革研究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（2）中学生实验操作能力评价标准与考核方法研究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（3）小学生科学认知能力提升与教学策略实施研究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（4）《初中物理教学装备配置标准》等6个学科配置标准配备及教学应用研究（任选1科）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（5）普通高中育人方式改革与教育装备配置优化研究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（6）中小学教育装备采购质量管控体系构建研究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（7）县域内中小学综合阅览区建设研究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（8）校内与校外综合实践活动课程装备配置衔接研究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（9）中小学国学体验馆课程资源配置研究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（10）“大数据”技术在教育管理和课堂教学中的应用研究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（11）新时代高校后勤保障体系顶层设计与配套政策研究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（12）学校后勤服务外包监管与风险防范研究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（13）中小学集中供餐模式及发展趋势研究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（14）学校后勤的劳动育人功能开发研究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（15）贫困地区农产品与高校食堂物资供应链衔接研究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（16）人工智能背景下校园食品安全监控研究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（17）中小学食堂大宗食材配送模式优化研究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（18）新时期高校后勤信息化建设研究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>（19）高校后勤标准化建设现状调查研究</w:t>
      </w:r>
    </w:p>
    <w:p>
      <w:pPr>
        <w:widowControl/>
        <w:shd w:val="clear" w:color="auto" w:fill="FFFFFF"/>
        <w:spacing w:line="580" w:lineRule="exact"/>
        <w:ind w:firstLine="640" w:firstLineChars="200"/>
        <w:rPr>
          <w:rFonts w:ascii="仿宋" w:hAnsi="仿宋" w:eastAsia="仿宋" w:cs="仿宋"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kern w:val="0"/>
          <w:sz w:val="32"/>
          <w:szCs w:val="32"/>
        </w:rPr>
        <w:t xml:space="preserve">（20）人工智能教育装备与教育教学深度融合研究 </w:t>
      </w:r>
    </w:p>
    <w:p>
      <w:pPr>
        <w:spacing w:line="580" w:lineRule="exact"/>
        <w:jc w:val="left"/>
        <w:rPr>
          <w:rFonts w:ascii="仿宋" w:hAnsi="仿宋" w:eastAsia="仿宋" w:cs="仿宋"/>
          <w:sz w:val="32"/>
          <w:szCs w:val="32"/>
        </w:rPr>
      </w:pPr>
    </w:p>
    <w:sectPr>
      <w:footerReference r:id="rId3" w:type="default"/>
      <w:pgSz w:w="11906" w:h="16838"/>
      <w:pgMar w:top="1984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pStyle w:val="5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t>2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B04CC43"/>
    <w:multiLevelType w:val="singleLevel"/>
    <w:tmpl w:val="9B04CC4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2"/>
  </w:compat>
  <w:rsids>
    <w:rsidRoot w:val="5F7B6DBB"/>
    <w:rsid w:val="000015A2"/>
    <w:rsid w:val="000059BC"/>
    <w:rsid w:val="00035BF4"/>
    <w:rsid w:val="0004134D"/>
    <w:rsid w:val="0005591B"/>
    <w:rsid w:val="0008113A"/>
    <w:rsid w:val="000935F6"/>
    <w:rsid w:val="00093A15"/>
    <w:rsid w:val="000A031C"/>
    <w:rsid w:val="000A357D"/>
    <w:rsid w:val="000B50A2"/>
    <w:rsid w:val="000E7EA3"/>
    <w:rsid w:val="00102805"/>
    <w:rsid w:val="00132A71"/>
    <w:rsid w:val="00170AA4"/>
    <w:rsid w:val="001D59B0"/>
    <w:rsid w:val="00275B67"/>
    <w:rsid w:val="002832E3"/>
    <w:rsid w:val="002A2DF5"/>
    <w:rsid w:val="002B06F7"/>
    <w:rsid w:val="00387598"/>
    <w:rsid w:val="003A32FF"/>
    <w:rsid w:val="004159A7"/>
    <w:rsid w:val="00450499"/>
    <w:rsid w:val="0047274A"/>
    <w:rsid w:val="004D7A69"/>
    <w:rsid w:val="004E5EDA"/>
    <w:rsid w:val="00502FE8"/>
    <w:rsid w:val="00524B84"/>
    <w:rsid w:val="00557104"/>
    <w:rsid w:val="00596E33"/>
    <w:rsid w:val="005D7269"/>
    <w:rsid w:val="005E0B90"/>
    <w:rsid w:val="00610E87"/>
    <w:rsid w:val="00633A01"/>
    <w:rsid w:val="006B3A71"/>
    <w:rsid w:val="0071249A"/>
    <w:rsid w:val="00730A06"/>
    <w:rsid w:val="00783705"/>
    <w:rsid w:val="007866F2"/>
    <w:rsid w:val="007966C0"/>
    <w:rsid w:val="008002B0"/>
    <w:rsid w:val="00875E6F"/>
    <w:rsid w:val="00885829"/>
    <w:rsid w:val="008F5A83"/>
    <w:rsid w:val="00910ABC"/>
    <w:rsid w:val="009370EF"/>
    <w:rsid w:val="0094159C"/>
    <w:rsid w:val="009540EF"/>
    <w:rsid w:val="00A126FB"/>
    <w:rsid w:val="00A408C4"/>
    <w:rsid w:val="00A6426A"/>
    <w:rsid w:val="00AA7241"/>
    <w:rsid w:val="00B2353D"/>
    <w:rsid w:val="00C44321"/>
    <w:rsid w:val="00D02836"/>
    <w:rsid w:val="00D12E63"/>
    <w:rsid w:val="00DB1FC8"/>
    <w:rsid w:val="00DD2F14"/>
    <w:rsid w:val="00E15B82"/>
    <w:rsid w:val="00EF377D"/>
    <w:rsid w:val="00F002D6"/>
    <w:rsid w:val="00F36092"/>
    <w:rsid w:val="00F42915"/>
    <w:rsid w:val="00F454AE"/>
    <w:rsid w:val="00F80EBF"/>
    <w:rsid w:val="00FA7D5E"/>
    <w:rsid w:val="01883527"/>
    <w:rsid w:val="02621FCB"/>
    <w:rsid w:val="029D2188"/>
    <w:rsid w:val="02C4137D"/>
    <w:rsid w:val="03AA0AF8"/>
    <w:rsid w:val="05433260"/>
    <w:rsid w:val="05D512E7"/>
    <w:rsid w:val="0616740C"/>
    <w:rsid w:val="07D34B67"/>
    <w:rsid w:val="07E4522A"/>
    <w:rsid w:val="08A030D0"/>
    <w:rsid w:val="0A162FB7"/>
    <w:rsid w:val="0A3E277F"/>
    <w:rsid w:val="0B486DA7"/>
    <w:rsid w:val="0C4437EF"/>
    <w:rsid w:val="0C9A7C64"/>
    <w:rsid w:val="0CB44402"/>
    <w:rsid w:val="0D757062"/>
    <w:rsid w:val="0DB921B0"/>
    <w:rsid w:val="0E032C1C"/>
    <w:rsid w:val="0E8F28C9"/>
    <w:rsid w:val="10D97FD7"/>
    <w:rsid w:val="11641211"/>
    <w:rsid w:val="12480629"/>
    <w:rsid w:val="127815A3"/>
    <w:rsid w:val="135933EE"/>
    <w:rsid w:val="13624577"/>
    <w:rsid w:val="13C371D7"/>
    <w:rsid w:val="13C95187"/>
    <w:rsid w:val="14957465"/>
    <w:rsid w:val="14C15236"/>
    <w:rsid w:val="14D55518"/>
    <w:rsid w:val="14DF6E76"/>
    <w:rsid w:val="151C59D3"/>
    <w:rsid w:val="15B96B43"/>
    <w:rsid w:val="1616565E"/>
    <w:rsid w:val="169A5E3E"/>
    <w:rsid w:val="170F3B43"/>
    <w:rsid w:val="17AF3457"/>
    <w:rsid w:val="18517889"/>
    <w:rsid w:val="18EF494D"/>
    <w:rsid w:val="190A7E9A"/>
    <w:rsid w:val="19350EFF"/>
    <w:rsid w:val="1AF832D0"/>
    <w:rsid w:val="1F5D086D"/>
    <w:rsid w:val="1FD010D3"/>
    <w:rsid w:val="23964228"/>
    <w:rsid w:val="239E3F97"/>
    <w:rsid w:val="255E6901"/>
    <w:rsid w:val="26C431B3"/>
    <w:rsid w:val="27290604"/>
    <w:rsid w:val="2746646D"/>
    <w:rsid w:val="278D4BA5"/>
    <w:rsid w:val="27DE3343"/>
    <w:rsid w:val="2AC42293"/>
    <w:rsid w:val="2B3D7A63"/>
    <w:rsid w:val="2B512874"/>
    <w:rsid w:val="2CD21345"/>
    <w:rsid w:val="2DE66AEF"/>
    <w:rsid w:val="2E8063CD"/>
    <w:rsid w:val="308F38BB"/>
    <w:rsid w:val="313731F9"/>
    <w:rsid w:val="326E639B"/>
    <w:rsid w:val="33D83338"/>
    <w:rsid w:val="355D4FFC"/>
    <w:rsid w:val="3698662D"/>
    <w:rsid w:val="383C05B6"/>
    <w:rsid w:val="384804F3"/>
    <w:rsid w:val="384C2D07"/>
    <w:rsid w:val="388630EE"/>
    <w:rsid w:val="39567FBE"/>
    <w:rsid w:val="398E2FA7"/>
    <w:rsid w:val="39D60703"/>
    <w:rsid w:val="3ACC359F"/>
    <w:rsid w:val="3D5C054A"/>
    <w:rsid w:val="3EC33F22"/>
    <w:rsid w:val="3F157903"/>
    <w:rsid w:val="426D4FD0"/>
    <w:rsid w:val="42A54CB5"/>
    <w:rsid w:val="43BE49FE"/>
    <w:rsid w:val="43FB06BB"/>
    <w:rsid w:val="44A415E3"/>
    <w:rsid w:val="44C238DC"/>
    <w:rsid w:val="45F94949"/>
    <w:rsid w:val="46750C7A"/>
    <w:rsid w:val="46C97CB8"/>
    <w:rsid w:val="48DD3122"/>
    <w:rsid w:val="492E3AB7"/>
    <w:rsid w:val="4981674A"/>
    <w:rsid w:val="49D9236F"/>
    <w:rsid w:val="49E80184"/>
    <w:rsid w:val="4A5A6376"/>
    <w:rsid w:val="4AEA5625"/>
    <w:rsid w:val="4B1E3503"/>
    <w:rsid w:val="4B364503"/>
    <w:rsid w:val="4CD0168C"/>
    <w:rsid w:val="4D315240"/>
    <w:rsid w:val="4E2640B1"/>
    <w:rsid w:val="4E487D96"/>
    <w:rsid w:val="4E695A5E"/>
    <w:rsid w:val="4F2C620E"/>
    <w:rsid w:val="507821C1"/>
    <w:rsid w:val="51FA31B9"/>
    <w:rsid w:val="5231636E"/>
    <w:rsid w:val="52C62D34"/>
    <w:rsid w:val="53114866"/>
    <w:rsid w:val="531279E0"/>
    <w:rsid w:val="531543A7"/>
    <w:rsid w:val="536C207C"/>
    <w:rsid w:val="539F7AD8"/>
    <w:rsid w:val="550757E8"/>
    <w:rsid w:val="556C3765"/>
    <w:rsid w:val="55A51371"/>
    <w:rsid w:val="562E5CEE"/>
    <w:rsid w:val="562F0853"/>
    <w:rsid w:val="56A9299B"/>
    <w:rsid w:val="58346AB4"/>
    <w:rsid w:val="588E2D7A"/>
    <w:rsid w:val="5AB82AE9"/>
    <w:rsid w:val="5B083214"/>
    <w:rsid w:val="5B97563E"/>
    <w:rsid w:val="5C586743"/>
    <w:rsid w:val="5CB8594B"/>
    <w:rsid w:val="5D20273D"/>
    <w:rsid w:val="5EDA625A"/>
    <w:rsid w:val="5EE40C46"/>
    <w:rsid w:val="5F7B6DBB"/>
    <w:rsid w:val="5FDD1915"/>
    <w:rsid w:val="62FB3C81"/>
    <w:rsid w:val="64BC3B60"/>
    <w:rsid w:val="65260E78"/>
    <w:rsid w:val="656732A3"/>
    <w:rsid w:val="6704201A"/>
    <w:rsid w:val="67110EB3"/>
    <w:rsid w:val="6716683E"/>
    <w:rsid w:val="67213BFF"/>
    <w:rsid w:val="67FF5215"/>
    <w:rsid w:val="69C86E11"/>
    <w:rsid w:val="6AF63BD7"/>
    <w:rsid w:val="6B8C1427"/>
    <w:rsid w:val="6BB13F75"/>
    <w:rsid w:val="6BD95244"/>
    <w:rsid w:val="6CB93FB5"/>
    <w:rsid w:val="6E511CD5"/>
    <w:rsid w:val="6E6C7D50"/>
    <w:rsid w:val="6E6E1F47"/>
    <w:rsid w:val="6F33250D"/>
    <w:rsid w:val="702C7CA9"/>
    <w:rsid w:val="70A17F17"/>
    <w:rsid w:val="73357BB9"/>
    <w:rsid w:val="74393F1D"/>
    <w:rsid w:val="76261878"/>
    <w:rsid w:val="76CA6487"/>
    <w:rsid w:val="775A1293"/>
    <w:rsid w:val="775E2757"/>
    <w:rsid w:val="77DD3504"/>
    <w:rsid w:val="7BC446A6"/>
    <w:rsid w:val="7BFA1C7F"/>
    <w:rsid w:val="7C170BD7"/>
    <w:rsid w:val="7C5C2744"/>
    <w:rsid w:val="7CE07322"/>
    <w:rsid w:val="7CF757A1"/>
    <w:rsid w:val="7E140028"/>
    <w:rsid w:val="7EA43064"/>
    <w:rsid w:val="7F2C4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9"/>
    <w:pPr>
      <w:keepNext/>
      <w:keepLines/>
      <w:outlineLvl w:val="0"/>
    </w:pPr>
    <w:rPr>
      <w:rFonts w:eastAsia="黑体"/>
      <w:bCs/>
      <w:kern w:val="44"/>
      <w:szCs w:val="44"/>
    </w:rPr>
  </w:style>
  <w:style w:type="paragraph" w:styleId="3">
    <w:name w:val="heading 2"/>
    <w:basedOn w:val="1"/>
    <w:next w:val="1"/>
    <w:link w:val="10"/>
    <w:qFormat/>
    <w:uiPriority w:val="99"/>
    <w:pPr>
      <w:keepNext/>
      <w:keepLines/>
      <w:widowControl/>
      <w:spacing w:before="260" w:after="260" w:line="416" w:lineRule="auto"/>
      <w:jc w:val="left"/>
      <w:outlineLvl w:val="1"/>
    </w:pPr>
    <w:rPr>
      <w:rFonts w:ascii="Arial" w:hAnsi="Arial" w:eastAsia="黑体"/>
      <w:bCs/>
      <w:kern w:val="0"/>
      <w:sz w:val="32"/>
      <w:szCs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1"/>
    <w:qFormat/>
    <w:uiPriority w:val="99"/>
    <w:pPr>
      <w:jc w:val="left"/>
    </w:pPr>
  </w:style>
  <w:style w:type="paragraph" w:styleId="5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标题 1 Char"/>
    <w:basedOn w:val="8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0">
    <w:name w:val="标题 2 Char"/>
    <w:basedOn w:val="8"/>
    <w:link w:val="3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1">
    <w:name w:val="批注文字 Char"/>
    <w:basedOn w:val="8"/>
    <w:link w:val="4"/>
    <w:semiHidden/>
    <w:qFormat/>
    <w:uiPriority w:val="99"/>
    <w:rPr>
      <w:szCs w:val="24"/>
    </w:rPr>
  </w:style>
  <w:style w:type="character" w:customStyle="1" w:styleId="12">
    <w:name w:val="页脚 Char"/>
    <w:basedOn w:val="8"/>
    <w:link w:val="5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13">
    <w:name w:val="页眉 Char"/>
    <w:basedOn w:val="8"/>
    <w:link w:val="6"/>
    <w:qFormat/>
    <w:locked/>
    <w:uiPriority w:val="99"/>
    <w:rPr>
      <w:rFonts w:cs="Times New Roman"/>
      <w:kern w:val="2"/>
      <w:sz w:val="18"/>
      <w:szCs w:val="18"/>
    </w:rPr>
  </w:style>
  <w:style w:type="paragraph" w:styleId="14">
    <w:name w:val="List Paragraph"/>
    <w:basedOn w:val="1"/>
    <w:qFormat/>
    <w:uiPriority w:val="99"/>
    <w:pPr>
      <w:ind w:firstLine="420" w:firstLineChars="200"/>
    </w:pPr>
  </w:style>
  <w:style w:type="character" w:customStyle="1" w:styleId="15">
    <w:name w:val="fontstyle21"/>
    <w:qFormat/>
    <w:uiPriority w:val="0"/>
    <w:rPr>
      <w:rFonts w:ascii="仿宋_GB2312" w:eastAsia="仿宋_GB2312" w:cs="仿宋_GB2312"/>
      <w:color w:val="00000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810A836-FDD2-471F-B073-4E1D730F89B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10</Pages>
  <Words>626</Words>
  <Characters>3572</Characters>
  <Lines>29</Lines>
  <Paragraphs>8</Paragraphs>
  <TotalTime>49</TotalTime>
  <ScaleCrop>false</ScaleCrop>
  <LinksUpToDate>false</LinksUpToDate>
  <CharactersWithSpaces>4190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2016-11-09T08:49:00Z</dcterms:created>
  <dc:creator>Administrator</dc:creator>
  <cp:lastModifiedBy>小瓶子</cp:lastModifiedBy>
  <cp:lastPrinted>2016-11-04T09:30:00Z</cp:lastPrinted>
  <dcterms:modified xsi:type="dcterms:W3CDTF">2020-05-18T11:09:21Z</dcterms:modified>
  <dc:title>附件2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